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8"/>
        <w:ind w:left="102"/>
        <w:rPr>
          <w:rFonts w:hint="default"/>
          <w:lang w:val="en-US" w:eastAsia="zh-CN"/>
        </w:rPr>
      </w:pPr>
      <w:r>
        <w:rPr>
          <w:lang w:eastAsia="zh-CN"/>
        </w:rPr>
        <w:t>资金账号：</w:t>
      </w:r>
    </w:p>
    <w:p>
      <w:pPr>
        <w:pStyle w:val="3"/>
        <w:rPr>
          <w:sz w:val="20"/>
          <w:lang w:eastAsia="zh-CN"/>
        </w:rPr>
      </w:pPr>
    </w:p>
    <w:p>
      <w:pPr>
        <w:pStyle w:val="3"/>
        <w:rPr>
          <w:sz w:val="20"/>
          <w:lang w:eastAsia="zh-CN"/>
        </w:rPr>
      </w:pPr>
    </w:p>
    <w:p>
      <w:pPr>
        <w:pStyle w:val="3"/>
        <w:spacing w:before="6"/>
        <w:rPr>
          <w:sz w:val="17"/>
          <w:lang w:eastAsia="zh-CN"/>
        </w:rPr>
      </w:pPr>
    </w:p>
    <w:p>
      <w:pPr>
        <w:pStyle w:val="3"/>
        <w:keepNext w:val="0"/>
        <w:keepLines w:val="0"/>
        <w:pageBreakBefore w:val="0"/>
        <w:widowControl w:val="0"/>
        <w:kinsoku/>
        <w:wordWrap/>
        <w:overflowPunct/>
        <w:topLinePunct w:val="0"/>
        <w:autoSpaceDE w:val="0"/>
        <w:autoSpaceDN w:val="0"/>
        <w:bidi w:val="0"/>
        <w:adjustRightInd/>
        <w:snapToGrid/>
        <w:ind w:left="0"/>
        <w:jc w:val="center"/>
        <w:textAlignment w:val="auto"/>
        <w:rPr>
          <w:rFonts w:ascii="黑体" w:eastAsia="黑体"/>
          <w:lang w:eastAsia="zh-CN"/>
        </w:rPr>
      </w:pPr>
      <w:r>
        <w:rPr>
          <w:rFonts w:hint="eastAsia" w:ascii="黑体" w:eastAsia="黑体"/>
          <w:sz w:val="40"/>
          <w:szCs w:val="40"/>
          <w:lang w:eastAsia="zh-CN"/>
        </w:rPr>
        <w:t>期货居间交易者风险告知书</w:t>
      </w:r>
    </w:p>
    <w:p>
      <w:pPr>
        <w:pStyle w:val="3"/>
        <w:ind w:right="2216"/>
        <w:jc w:val="both"/>
        <w:rPr>
          <w:lang w:eastAsia="zh-CN"/>
        </w:rPr>
      </w:pPr>
    </w:p>
    <w:p>
      <w:pPr>
        <w:pStyle w:val="3"/>
        <w:rPr>
          <w:lang w:eastAsia="zh-CN"/>
        </w:rPr>
      </w:pPr>
    </w:p>
    <w:p>
      <w:pPr>
        <w:pStyle w:val="3"/>
        <w:rPr>
          <w:lang w:eastAsia="zh-CN"/>
        </w:rPr>
      </w:pPr>
    </w:p>
    <w:p>
      <w:pPr>
        <w:pStyle w:val="3"/>
        <w:tabs>
          <w:tab w:val="left" w:pos="5199"/>
        </w:tabs>
        <w:spacing w:before="213"/>
        <w:ind w:left="1000"/>
        <w:rPr>
          <w:lang w:eastAsia="zh-CN"/>
        </w:rPr>
      </w:pPr>
      <w:r>
        <w:rPr>
          <w:lang w:eastAsia="zh-CN"/>
        </w:rPr>
        <w:t>尊敬的交易者</w:t>
      </w:r>
      <w:r>
        <w:rPr>
          <w:u w:val="single"/>
          <w:lang w:eastAsia="zh-CN"/>
        </w:rPr>
        <w:t xml:space="preserve"> </w:t>
      </w:r>
      <w:r>
        <w:rPr>
          <w:rFonts w:hint="eastAsia"/>
          <w:u w:val="single"/>
          <w:lang w:val="en-US" w:eastAsia="zh-CN"/>
        </w:rPr>
        <w:t xml:space="preserve">         </w:t>
      </w:r>
      <w:bookmarkStart w:id="0" w:name="_GoBack"/>
      <w:bookmarkEnd w:id="0"/>
      <w:r>
        <w:rPr>
          <w:rFonts w:hint="eastAsia"/>
          <w:u w:val="single"/>
          <w:lang w:val="en-US" w:eastAsia="zh-CN"/>
        </w:rPr>
        <w:t xml:space="preserve">  </w:t>
      </w:r>
      <w:r>
        <w:rPr>
          <w:lang w:eastAsia="zh-CN"/>
        </w:rPr>
        <w:t>：</w:t>
      </w:r>
    </w:p>
    <w:p>
      <w:pPr>
        <w:pStyle w:val="3"/>
        <w:spacing w:before="213" w:line="405" w:lineRule="auto"/>
        <w:ind w:left="520" w:right="239" w:firstLine="480"/>
        <w:jc w:val="both"/>
        <w:rPr>
          <w:lang w:eastAsia="zh-CN"/>
        </w:rPr>
      </w:pPr>
      <w:r>
        <w:rPr>
          <w:spacing w:val="-9"/>
          <w:lang w:eastAsia="zh-CN"/>
        </w:rPr>
        <w:t>交易有风险。当您进行期货交易时，可能获得交易收益，但同时也面临着交易风险。您在</w:t>
      </w:r>
      <w:r>
        <w:rPr>
          <w:spacing w:val="-6"/>
          <w:lang w:eastAsia="zh-CN"/>
        </w:rPr>
        <w:t>通过居间人介绍与期货公司签订期货经纪合同之前，请仔细阅读本风险告知书，认真考虑投资</w:t>
      </w:r>
      <w:r>
        <w:rPr>
          <w:lang w:eastAsia="zh-CN"/>
        </w:rPr>
        <w:t>存在的各项风险因素，并充分考虑自身的风险承受能力，理性判断并谨慎做出决策。</w:t>
      </w:r>
    </w:p>
    <w:p>
      <w:pPr>
        <w:pStyle w:val="3"/>
        <w:spacing w:before="1"/>
        <w:rPr>
          <w:sz w:val="17"/>
          <w:lang w:eastAsia="zh-CN"/>
        </w:rPr>
      </w:pPr>
    </w:p>
    <w:p>
      <w:pPr>
        <w:pStyle w:val="3"/>
        <w:ind w:left="1000"/>
        <w:rPr>
          <w:rFonts w:ascii="黑体" w:eastAsia="黑体"/>
          <w:lang w:eastAsia="zh-CN"/>
        </w:rPr>
      </w:pPr>
      <w:r>
        <w:rPr>
          <w:rFonts w:hint="eastAsia" w:ascii="黑体" w:eastAsia="黑体"/>
          <w:lang w:eastAsia="zh-CN"/>
        </w:rPr>
        <w:t>一、期货公司声明</w:t>
      </w:r>
    </w:p>
    <w:p>
      <w:pPr>
        <w:pStyle w:val="3"/>
        <w:spacing w:before="4"/>
        <w:rPr>
          <w:rFonts w:ascii="黑体"/>
          <w:sz w:val="33"/>
          <w:lang w:eastAsia="zh-CN"/>
        </w:rPr>
      </w:pPr>
    </w:p>
    <w:p>
      <w:pPr>
        <w:pStyle w:val="3"/>
        <w:spacing w:line="405" w:lineRule="auto"/>
        <w:ind w:left="520" w:right="236" w:firstLine="480"/>
        <w:jc w:val="both"/>
        <w:rPr>
          <w:lang w:eastAsia="zh-CN"/>
        </w:rPr>
      </w:pPr>
      <w:r>
        <w:rPr>
          <w:lang w:eastAsia="zh-CN"/>
        </w:rPr>
        <w:t>(一) 居间人不是期货公司员工：居间人独立于期货公司和交易者之外，是为交易者提供</w:t>
      </w:r>
      <w:r>
        <w:rPr>
          <w:spacing w:val="-6"/>
          <w:lang w:eastAsia="zh-CN"/>
        </w:rPr>
        <w:t>与期货公司订立期货经纪合同的中介服务，独立承担基于提供中介服务所产生的权利义务的机</w:t>
      </w:r>
      <w:r>
        <w:rPr>
          <w:lang w:eastAsia="zh-CN"/>
        </w:rPr>
        <w:t>构和自然人。</w:t>
      </w:r>
    </w:p>
    <w:p>
      <w:pPr>
        <w:spacing w:before="1" w:line="405" w:lineRule="auto"/>
        <w:ind w:left="520" w:right="234" w:firstLine="480"/>
        <w:jc w:val="both"/>
        <w:rPr>
          <w:b/>
          <w:sz w:val="24"/>
          <w:lang w:eastAsia="zh-CN"/>
        </w:rPr>
      </w:pPr>
      <w:r>
        <w:rPr>
          <w:sz w:val="24"/>
          <w:lang w:eastAsia="zh-CN"/>
        </w:rPr>
        <w:t>(二) 除本公司统一对外提供的期货类研发报告及有关信息外，</w:t>
      </w:r>
      <w:r>
        <w:rPr>
          <w:b/>
          <w:sz w:val="24"/>
          <w:lang w:eastAsia="zh-CN"/>
        </w:rPr>
        <w:t>居间人向您阐述的与期货交易相关的行情分析及建议均代表其个人观点。您与居间人私下签订的所有协议仅代表您个人行为，与本公司无关。</w:t>
      </w:r>
    </w:p>
    <w:p>
      <w:pPr>
        <w:pStyle w:val="3"/>
        <w:spacing w:before="1" w:line="405" w:lineRule="auto"/>
        <w:ind w:left="520" w:right="239" w:firstLine="480"/>
        <w:jc w:val="both"/>
        <w:rPr>
          <w:lang w:eastAsia="zh-CN"/>
        </w:rPr>
      </w:pPr>
      <w:r>
        <w:rPr>
          <w:lang w:eastAsia="zh-CN"/>
        </w:rPr>
        <w:t>(三) 您可以通过以下方式查询居间人信息：若居间人在为您提供服务的过程中出现任何问题，请及时与我司联系，我们将竭诚为您服务。</w:t>
      </w:r>
    </w:p>
    <w:p>
      <w:pPr>
        <w:pStyle w:val="3"/>
        <w:spacing w:before="3" w:line="405" w:lineRule="auto"/>
        <w:ind w:left="1000" w:right="6383"/>
        <w:rPr>
          <w:lang w:eastAsia="zh-CN"/>
        </w:rPr>
      </w:pPr>
      <w:r>
        <w:rPr>
          <w:lang w:eastAsia="zh-CN"/>
        </w:rPr>
        <w:t>官方网站：www.sheast.cn/ 投诉电话：4000-111-955</w:t>
      </w:r>
    </w:p>
    <w:p>
      <w:pPr>
        <w:pStyle w:val="3"/>
        <w:ind w:left="1000"/>
        <w:rPr>
          <w:lang w:eastAsia="zh-CN"/>
        </w:rPr>
      </w:pPr>
      <w:r>
        <w:rPr>
          <w:lang w:eastAsia="zh-CN"/>
        </w:rPr>
        <w:t xml:space="preserve">投诉邮箱：p0015659@ceic.com </w:t>
      </w:r>
    </w:p>
    <w:p>
      <w:pPr>
        <w:pStyle w:val="3"/>
        <w:spacing w:before="8"/>
        <w:rPr>
          <w:sz w:val="33"/>
          <w:lang w:eastAsia="zh-CN"/>
        </w:rPr>
      </w:pPr>
    </w:p>
    <w:p>
      <w:pPr>
        <w:pStyle w:val="3"/>
        <w:ind w:left="1000"/>
        <w:rPr>
          <w:rFonts w:ascii="黑体" w:eastAsia="黑体"/>
          <w:lang w:eastAsia="zh-CN"/>
        </w:rPr>
      </w:pPr>
      <w:r>
        <w:rPr>
          <w:rFonts w:hint="eastAsia" w:ascii="黑体" w:eastAsia="黑体"/>
          <w:lang w:eastAsia="zh-CN"/>
        </w:rPr>
        <w:t>二、期货居间人声明</w:t>
      </w:r>
    </w:p>
    <w:p>
      <w:pPr>
        <w:pStyle w:val="3"/>
        <w:spacing w:before="4"/>
        <w:rPr>
          <w:rFonts w:ascii="黑体"/>
          <w:sz w:val="33"/>
          <w:lang w:eastAsia="zh-CN"/>
        </w:rPr>
      </w:pPr>
    </w:p>
    <w:p>
      <w:pPr>
        <w:pStyle w:val="3"/>
        <w:numPr>
          <w:ilvl w:val="0"/>
          <w:numId w:val="1"/>
        </w:numPr>
        <w:spacing w:before="1" w:line="405" w:lineRule="auto"/>
        <w:ind w:left="520" w:right="236" w:firstLine="480"/>
        <w:jc w:val="both"/>
        <w:rPr>
          <w:lang w:eastAsia="zh-CN"/>
        </w:rPr>
      </w:pPr>
      <w:r>
        <w:rPr>
          <w:spacing w:val="-5"/>
          <w:lang w:eastAsia="zh-CN"/>
        </w:rPr>
        <w:t>居间人不是期货公司员工：居间人独立于期货公司和交易者之外，是为交易者提供</w:t>
      </w:r>
      <w:r>
        <w:rPr>
          <w:spacing w:val="-7"/>
          <w:lang w:eastAsia="zh-CN"/>
        </w:rPr>
        <w:t>与期货公司订立期货经纪合同中介服务，独立承担基于提供中介服务所产生的权利义务的机构</w:t>
      </w:r>
      <w:r>
        <w:rPr>
          <w:lang w:eastAsia="zh-CN"/>
        </w:rPr>
        <w:t>和自然人。</w:t>
      </w:r>
    </w:p>
    <w:p>
      <w:pPr>
        <w:pStyle w:val="2"/>
        <w:ind w:left="1000"/>
        <w:rPr>
          <w:lang w:eastAsia="zh-CN"/>
        </w:rPr>
      </w:pPr>
      <w:r>
        <w:rPr>
          <w:b w:val="0"/>
          <w:lang w:eastAsia="zh-CN"/>
        </w:rPr>
        <w:t>（二）</w:t>
      </w:r>
      <w:r>
        <w:rPr>
          <w:lang w:eastAsia="zh-CN"/>
        </w:rPr>
        <w:t>居间人已确认交易者的风险识别能力和风险承担能力相匹配：居间人已明确了解</w:t>
      </w:r>
    </w:p>
    <w:p>
      <w:pPr>
        <w:rPr>
          <w:lang w:eastAsia="zh-CN"/>
        </w:rPr>
        <w:sectPr>
          <w:footerReference r:id="rId3" w:type="default"/>
          <w:type w:val="continuous"/>
          <w:pgSz w:w="11910" w:h="16840"/>
          <w:pgMar w:top="580" w:right="840" w:bottom="780" w:left="560" w:header="720" w:footer="581" w:gutter="0"/>
          <w:pgNumType w:start="1"/>
          <w:cols w:space="720" w:num="1"/>
        </w:sectPr>
      </w:pPr>
    </w:p>
    <w:p>
      <w:pPr>
        <w:spacing w:before="37" w:line="405" w:lineRule="auto"/>
        <w:ind w:left="520" w:right="234"/>
        <w:rPr>
          <w:b/>
          <w:sz w:val="24"/>
          <w:lang w:eastAsia="zh-CN"/>
        </w:rPr>
      </w:pPr>
      <w:r>
        <w:rPr>
          <w:b/>
          <w:sz w:val="24"/>
          <w:lang w:eastAsia="zh-CN"/>
        </w:rPr>
        <w:t>交易者的基本情况、财务状况、交易知识、交易经验、风险偏好等信息，并向交易者明确介绍期货交易的风险。</w:t>
      </w:r>
    </w:p>
    <w:p>
      <w:pPr>
        <w:pStyle w:val="3"/>
        <w:spacing w:line="405" w:lineRule="auto"/>
        <w:ind w:left="1000" w:right="370"/>
        <w:rPr>
          <w:lang w:eastAsia="zh-CN"/>
        </w:rPr>
      </w:pPr>
      <w:r>
        <w:rPr>
          <w:lang w:eastAsia="zh-CN"/>
        </w:rPr>
        <w:t>（三）居间人在执业过程中，可以根据期货公司的委托，从事下列部分或者全部活动： 1.向期货公司介绍交易者,并促成交易者与期货公司签订期货经纪合同；</w:t>
      </w:r>
    </w:p>
    <w:p>
      <w:pPr>
        <w:pStyle w:val="10"/>
        <w:numPr>
          <w:ilvl w:val="0"/>
          <w:numId w:val="2"/>
        </w:numPr>
        <w:tabs>
          <w:tab w:val="left" w:pos="1241"/>
        </w:tabs>
        <w:spacing w:before="2"/>
        <w:rPr>
          <w:sz w:val="24"/>
          <w:lang w:eastAsia="zh-CN"/>
        </w:rPr>
      </w:pPr>
      <w:r>
        <w:rPr>
          <w:sz w:val="24"/>
          <w:lang w:eastAsia="zh-CN"/>
        </w:rPr>
        <w:t>向交易者介绍期货公司的基本情况；</w:t>
      </w:r>
    </w:p>
    <w:p>
      <w:pPr>
        <w:pStyle w:val="10"/>
        <w:numPr>
          <w:ilvl w:val="0"/>
          <w:numId w:val="2"/>
        </w:numPr>
        <w:tabs>
          <w:tab w:val="left" w:pos="1241"/>
        </w:tabs>
        <w:spacing w:line="405" w:lineRule="auto"/>
        <w:ind w:left="520" w:right="143" w:firstLine="480"/>
        <w:rPr>
          <w:sz w:val="24"/>
          <w:lang w:eastAsia="zh-CN"/>
        </w:rPr>
      </w:pPr>
      <w:r>
        <w:rPr>
          <w:spacing w:val="-1"/>
          <w:sz w:val="24"/>
          <w:lang w:eastAsia="zh-CN"/>
        </w:rPr>
        <w:t>向交易者介绍期货投资的基本常识包括但不限于开户、交易、追加保证金、强行平仓、</w:t>
      </w:r>
      <w:r>
        <w:rPr>
          <w:sz w:val="24"/>
          <w:lang w:eastAsia="zh-CN"/>
        </w:rPr>
        <w:t>资金存取等；</w:t>
      </w:r>
    </w:p>
    <w:p>
      <w:pPr>
        <w:pStyle w:val="10"/>
        <w:numPr>
          <w:ilvl w:val="0"/>
          <w:numId w:val="2"/>
        </w:numPr>
        <w:tabs>
          <w:tab w:val="left" w:pos="1241"/>
        </w:tabs>
        <w:spacing w:before="2"/>
        <w:rPr>
          <w:sz w:val="24"/>
          <w:lang w:eastAsia="zh-CN"/>
        </w:rPr>
      </w:pPr>
      <w:r>
        <w:rPr>
          <w:spacing w:val="-11"/>
          <w:sz w:val="24"/>
          <w:lang w:eastAsia="zh-CN"/>
        </w:rPr>
        <w:t>向交易者介绍与期货投资有关的法律法规、部门规章、自律规则和期货公司的有关规定；</w:t>
      </w:r>
    </w:p>
    <w:p>
      <w:pPr>
        <w:pStyle w:val="10"/>
        <w:numPr>
          <w:ilvl w:val="0"/>
          <w:numId w:val="2"/>
        </w:numPr>
        <w:tabs>
          <w:tab w:val="left" w:pos="1241"/>
        </w:tabs>
        <w:rPr>
          <w:sz w:val="24"/>
          <w:lang w:eastAsia="zh-CN"/>
        </w:rPr>
      </w:pPr>
      <w:r>
        <w:rPr>
          <w:sz w:val="24"/>
          <w:lang w:eastAsia="zh-CN"/>
        </w:rPr>
        <w:t>向交易者传递由期货公司统一提供的公司宣传推介材料；</w:t>
      </w:r>
    </w:p>
    <w:p>
      <w:pPr>
        <w:pStyle w:val="10"/>
        <w:numPr>
          <w:ilvl w:val="0"/>
          <w:numId w:val="2"/>
        </w:numPr>
        <w:tabs>
          <w:tab w:val="left" w:pos="1241"/>
        </w:tabs>
        <w:spacing w:before="214"/>
        <w:rPr>
          <w:sz w:val="24"/>
          <w:lang w:eastAsia="zh-CN"/>
        </w:rPr>
      </w:pPr>
      <w:r>
        <w:rPr>
          <w:sz w:val="24"/>
          <w:lang w:eastAsia="zh-CN"/>
        </w:rPr>
        <w:t>中国期货业协会认定的其他活动。</w:t>
      </w:r>
    </w:p>
    <w:p>
      <w:pPr>
        <w:pStyle w:val="2"/>
        <w:spacing w:before="213"/>
        <w:ind w:left="1002"/>
        <w:rPr>
          <w:lang w:eastAsia="zh-CN"/>
        </w:rPr>
      </w:pPr>
      <w:r>
        <w:rPr>
          <w:lang w:eastAsia="zh-CN"/>
        </w:rPr>
        <w:t>（四）居间人严禁出现下列行为：</w:t>
      </w:r>
    </w:p>
    <w:p>
      <w:pPr>
        <w:pStyle w:val="10"/>
        <w:numPr>
          <w:ilvl w:val="0"/>
          <w:numId w:val="3"/>
        </w:numPr>
        <w:tabs>
          <w:tab w:val="left" w:pos="1241"/>
        </w:tabs>
        <w:rPr>
          <w:sz w:val="24"/>
          <w:lang w:eastAsia="zh-CN"/>
        </w:rPr>
      </w:pPr>
      <w:r>
        <w:rPr>
          <w:sz w:val="24"/>
          <w:lang w:eastAsia="zh-CN"/>
        </w:rPr>
        <w:t>以任何形式参与期货配资，变相非法集资或融资；</w:t>
      </w:r>
    </w:p>
    <w:p>
      <w:pPr>
        <w:pStyle w:val="10"/>
        <w:numPr>
          <w:ilvl w:val="0"/>
          <w:numId w:val="3"/>
        </w:numPr>
        <w:tabs>
          <w:tab w:val="left" w:pos="1241"/>
        </w:tabs>
        <w:spacing w:before="213" w:line="405" w:lineRule="auto"/>
        <w:ind w:left="520" w:right="239" w:firstLine="480"/>
        <w:rPr>
          <w:sz w:val="24"/>
          <w:lang w:eastAsia="zh-CN"/>
        </w:rPr>
      </w:pPr>
      <w:r>
        <w:rPr>
          <w:spacing w:val="-8"/>
          <w:sz w:val="24"/>
          <w:lang w:eastAsia="zh-CN"/>
        </w:rPr>
        <w:t>接受交易者委托，代理交易者从事期货交易，或者代理交易者办理账户开立、销户、结</w:t>
      </w:r>
      <w:r>
        <w:rPr>
          <w:sz w:val="24"/>
          <w:lang w:eastAsia="zh-CN"/>
        </w:rPr>
        <w:t>算签字、资金存取、划转、查询等事宜；</w:t>
      </w:r>
    </w:p>
    <w:p>
      <w:pPr>
        <w:pStyle w:val="10"/>
        <w:numPr>
          <w:ilvl w:val="0"/>
          <w:numId w:val="3"/>
        </w:numPr>
        <w:tabs>
          <w:tab w:val="left" w:pos="1241"/>
        </w:tabs>
        <w:spacing w:before="0" w:line="405" w:lineRule="auto"/>
        <w:ind w:left="520" w:right="119" w:firstLine="480"/>
        <w:rPr>
          <w:sz w:val="24"/>
          <w:lang w:eastAsia="zh-CN"/>
        </w:rPr>
      </w:pPr>
      <w:r>
        <w:rPr>
          <w:spacing w:val="-5"/>
          <w:sz w:val="24"/>
          <w:lang w:eastAsia="zh-CN"/>
        </w:rPr>
        <w:t>为交易者提供集中交易场所或者交易设施，以期货公司员工、代理人的身份对外开展业</w:t>
      </w:r>
      <w:r>
        <w:rPr>
          <w:spacing w:val="-17"/>
          <w:sz w:val="24"/>
          <w:lang w:eastAsia="zh-CN"/>
        </w:rPr>
        <w:t>务，擅自印刷和发放宣传资料，以及向交易者发出容易使其对居间人身份产生误解的其它信息；</w:t>
      </w:r>
    </w:p>
    <w:p>
      <w:pPr>
        <w:pStyle w:val="10"/>
        <w:numPr>
          <w:ilvl w:val="0"/>
          <w:numId w:val="3"/>
        </w:numPr>
        <w:tabs>
          <w:tab w:val="left" w:pos="1241"/>
        </w:tabs>
        <w:spacing w:before="2"/>
        <w:rPr>
          <w:sz w:val="24"/>
          <w:lang w:eastAsia="zh-CN"/>
        </w:rPr>
      </w:pPr>
      <w:r>
        <w:rPr>
          <w:sz w:val="24"/>
          <w:lang w:eastAsia="zh-CN"/>
        </w:rPr>
        <w:t>虚构或者担任挂名居间人；</w:t>
      </w:r>
    </w:p>
    <w:p>
      <w:pPr>
        <w:pStyle w:val="10"/>
        <w:numPr>
          <w:ilvl w:val="0"/>
          <w:numId w:val="3"/>
        </w:numPr>
        <w:tabs>
          <w:tab w:val="left" w:pos="1241"/>
        </w:tabs>
        <w:spacing w:line="405" w:lineRule="auto"/>
        <w:ind w:left="520" w:right="236" w:firstLine="480"/>
        <w:rPr>
          <w:sz w:val="24"/>
          <w:lang w:eastAsia="zh-CN"/>
        </w:rPr>
      </w:pPr>
      <w:r>
        <w:rPr>
          <w:spacing w:val="-7"/>
          <w:sz w:val="24"/>
          <w:lang w:eastAsia="zh-CN"/>
        </w:rPr>
        <w:t>隐瞒重要事实或进行误导性陈述，提供、传播虚假或者误导交易者的信息，夸大或者片</w:t>
      </w:r>
      <w:r>
        <w:rPr>
          <w:sz w:val="24"/>
          <w:lang w:eastAsia="zh-CN"/>
        </w:rPr>
        <w:t>面宣传交易业绩，向交易者作获利保证或者共担风险的承诺，诱使交易者进行期货交易；</w:t>
      </w:r>
    </w:p>
    <w:p>
      <w:pPr>
        <w:pStyle w:val="10"/>
        <w:numPr>
          <w:ilvl w:val="0"/>
          <w:numId w:val="3"/>
        </w:numPr>
        <w:tabs>
          <w:tab w:val="left" w:pos="1241"/>
        </w:tabs>
        <w:spacing w:before="2"/>
        <w:rPr>
          <w:sz w:val="24"/>
          <w:lang w:eastAsia="zh-CN"/>
        </w:rPr>
      </w:pPr>
      <w:r>
        <w:rPr>
          <w:sz w:val="24"/>
          <w:lang w:eastAsia="zh-CN"/>
        </w:rPr>
        <w:t>为交易者介绍代理人代其进行期货交易；</w:t>
      </w:r>
    </w:p>
    <w:p>
      <w:pPr>
        <w:pStyle w:val="10"/>
        <w:numPr>
          <w:ilvl w:val="0"/>
          <w:numId w:val="3"/>
        </w:numPr>
        <w:tabs>
          <w:tab w:val="left" w:pos="1241"/>
        </w:tabs>
        <w:rPr>
          <w:sz w:val="24"/>
          <w:lang w:eastAsia="zh-CN"/>
        </w:rPr>
      </w:pPr>
      <w:r>
        <w:rPr>
          <w:sz w:val="24"/>
          <w:lang w:eastAsia="zh-CN"/>
        </w:rPr>
        <w:t>要求期货公司支付与居间合作无关的费用；</w:t>
      </w:r>
    </w:p>
    <w:p>
      <w:pPr>
        <w:pStyle w:val="10"/>
        <w:numPr>
          <w:ilvl w:val="0"/>
          <w:numId w:val="3"/>
        </w:numPr>
        <w:tabs>
          <w:tab w:val="left" w:pos="1241"/>
        </w:tabs>
        <w:spacing w:before="214"/>
        <w:rPr>
          <w:sz w:val="24"/>
          <w:lang w:eastAsia="zh-CN"/>
        </w:rPr>
      </w:pPr>
      <w:r>
        <w:rPr>
          <w:sz w:val="24"/>
          <w:lang w:eastAsia="zh-CN"/>
        </w:rPr>
        <w:t>开展超过居间合同约定合作范围的居间活动；</w:t>
      </w:r>
    </w:p>
    <w:p>
      <w:pPr>
        <w:pStyle w:val="10"/>
        <w:numPr>
          <w:ilvl w:val="0"/>
          <w:numId w:val="3"/>
        </w:numPr>
        <w:tabs>
          <w:tab w:val="left" w:pos="1241"/>
        </w:tabs>
        <w:spacing w:before="213"/>
        <w:rPr>
          <w:sz w:val="24"/>
          <w:lang w:eastAsia="zh-CN"/>
        </w:rPr>
      </w:pPr>
      <w:r>
        <w:rPr>
          <w:sz w:val="24"/>
          <w:lang w:eastAsia="zh-CN"/>
        </w:rPr>
        <w:t>委托他人代理其开展居间活动；</w:t>
      </w:r>
    </w:p>
    <w:p>
      <w:pPr>
        <w:pStyle w:val="10"/>
        <w:numPr>
          <w:ilvl w:val="0"/>
          <w:numId w:val="3"/>
        </w:numPr>
        <w:tabs>
          <w:tab w:val="left" w:pos="1361"/>
        </w:tabs>
        <w:spacing w:line="405" w:lineRule="auto"/>
        <w:ind w:left="520" w:right="239" w:firstLine="480"/>
        <w:rPr>
          <w:sz w:val="24"/>
          <w:lang w:eastAsia="zh-CN"/>
        </w:rPr>
      </w:pPr>
      <w:r>
        <w:rPr>
          <w:spacing w:val="-1"/>
          <w:sz w:val="24"/>
          <w:lang w:eastAsia="zh-CN"/>
        </w:rPr>
        <w:t>以任何形式向交易者提供包括但不限于品种、价位、方向、数量等指向明确的交易建</w:t>
      </w:r>
      <w:r>
        <w:rPr>
          <w:sz w:val="24"/>
          <w:lang w:eastAsia="zh-CN"/>
        </w:rPr>
        <w:t>议。</w:t>
      </w:r>
    </w:p>
    <w:p>
      <w:pPr>
        <w:pStyle w:val="10"/>
        <w:numPr>
          <w:ilvl w:val="0"/>
          <w:numId w:val="3"/>
        </w:numPr>
        <w:tabs>
          <w:tab w:val="left" w:pos="1361"/>
        </w:tabs>
        <w:spacing w:before="2"/>
        <w:ind w:left="1361" w:hanging="361"/>
        <w:rPr>
          <w:sz w:val="24"/>
          <w:lang w:eastAsia="zh-CN"/>
        </w:rPr>
      </w:pPr>
      <w:r>
        <w:rPr>
          <w:sz w:val="24"/>
          <w:lang w:eastAsia="zh-CN"/>
        </w:rPr>
        <w:t>损害交易者合法权益或者扰乱市场秩序的其他行为。</w:t>
      </w:r>
    </w:p>
    <w:p>
      <w:pPr>
        <w:rPr>
          <w:sz w:val="24"/>
          <w:lang w:eastAsia="zh-CN"/>
        </w:rPr>
        <w:sectPr>
          <w:pgSz w:w="11910" w:h="16840"/>
          <w:pgMar w:top="1560" w:right="840" w:bottom="780" w:left="560" w:header="0" w:footer="581" w:gutter="0"/>
          <w:cols w:space="720" w:num="1"/>
        </w:sectPr>
      </w:pPr>
    </w:p>
    <w:p>
      <w:pPr>
        <w:pStyle w:val="3"/>
        <w:spacing w:before="40"/>
        <w:ind w:left="1000"/>
        <w:rPr>
          <w:rFonts w:ascii="黑体" w:eastAsia="黑体"/>
          <w:lang w:eastAsia="zh-CN"/>
        </w:rPr>
      </w:pPr>
      <w:r>
        <w:rPr>
          <w:rFonts w:hint="eastAsia" w:ascii="黑体" w:eastAsia="黑体"/>
          <w:lang w:eastAsia="zh-CN"/>
        </w:rPr>
        <w:t>三、交易者声明</w:t>
      </w:r>
    </w:p>
    <w:p>
      <w:pPr>
        <w:pStyle w:val="3"/>
        <w:spacing w:before="4"/>
        <w:rPr>
          <w:rFonts w:ascii="黑体"/>
          <w:sz w:val="33"/>
          <w:lang w:eastAsia="zh-CN"/>
        </w:rPr>
      </w:pPr>
    </w:p>
    <w:p>
      <w:pPr>
        <w:tabs>
          <w:tab w:val="left" w:pos="6361"/>
        </w:tabs>
        <w:spacing w:line="405" w:lineRule="auto"/>
        <w:ind w:left="520" w:right="234" w:firstLine="480"/>
        <w:jc w:val="both"/>
        <w:rPr>
          <w:sz w:val="24"/>
          <w:lang w:eastAsia="zh-CN"/>
        </w:rPr>
      </w:pPr>
      <w:r>
        <w:rPr>
          <w:sz w:val="24"/>
          <w:lang w:eastAsia="zh-CN"/>
        </w:rPr>
        <w:t>作为期货交易者，本人/机构已仔细阅读本风险告知书，充分了解并谨慎评估自身风险承受能力，自愿自行承担期货投资所面临的风险。本人/机构做出以下陈述和声明，并确认其</w:t>
      </w:r>
      <w:r>
        <w:rPr>
          <w:spacing w:val="-13"/>
          <w:sz w:val="24"/>
          <w:lang w:eastAsia="zh-CN"/>
        </w:rPr>
        <w:t>内</w:t>
      </w:r>
      <w:r>
        <w:rPr>
          <w:sz w:val="24"/>
          <w:lang w:eastAsia="zh-CN"/>
        </w:rPr>
        <w:t>容的真</w:t>
      </w:r>
      <w:r>
        <w:rPr>
          <w:spacing w:val="4"/>
          <w:sz w:val="24"/>
          <w:lang w:eastAsia="zh-CN"/>
        </w:rPr>
        <w:t>实</w:t>
      </w:r>
      <w:r>
        <w:rPr>
          <w:sz w:val="24"/>
          <w:lang w:eastAsia="zh-CN"/>
        </w:rPr>
        <w:t>和正确（</w:t>
      </w:r>
      <w:r>
        <w:rPr>
          <w:b/>
          <w:spacing w:val="4"/>
          <w:sz w:val="24"/>
          <w:lang w:eastAsia="zh-CN"/>
        </w:rPr>
        <w:t>自</w:t>
      </w:r>
      <w:r>
        <w:rPr>
          <w:b/>
          <w:spacing w:val="7"/>
          <w:sz w:val="24"/>
          <w:lang w:eastAsia="zh-CN"/>
        </w:rPr>
        <w:t>然</w:t>
      </w:r>
      <w:r>
        <w:rPr>
          <w:b/>
          <w:spacing w:val="4"/>
          <w:sz w:val="24"/>
          <w:lang w:eastAsia="zh-CN"/>
        </w:rPr>
        <w:t>人交易</w:t>
      </w:r>
      <w:r>
        <w:rPr>
          <w:b/>
          <w:sz w:val="24"/>
          <w:lang w:eastAsia="zh-CN"/>
        </w:rPr>
        <w:t>者</w:t>
      </w:r>
      <w:r>
        <w:rPr>
          <w:b/>
          <w:spacing w:val="4"/>
          <w:sz w:val="24"/>
          <w:lang w:eastAsia="zh-CN"/>
        </w:rPr>
        <w:t>在每段</w:t>
      </w:r>
      <w:r>
        <w:rPr>
          <w:b/>
          <w:sz w:val="24"/>
          <w:lang w:eastAsia="zh-CN"/>
        </w:rPr>
        <w:t>段</w:t>
      </w:r>
      <w:r>
        <w:rPr>
          <w:b/>
          <w:spacing w:val="4"/>
          <w:sz w:val="24"/>
          <w:lang w:eastAsia="zh-CN"/>
        </w:rPr>
        <w:t>尾</w:t>
      </w:r>
      <w:r>
        <w:rPr>
          <w:b/>
          <w:sz w:val="24"/>
          <w:lang w:eastAsia="zh-CN"/>
        </w:rPr>
        <w:t>【_</w:t>
      </w:r>
      <w:r>
        <w:rPr>
          <w:b/>
          <w:sz w:val="24"/>
          <w:u w:val="single"/>
          <w:lang w:eastAsia="zh-CN"/>
        </w:rPr>
        <w:t xml:space="preserve"> </w:t>
      </w:r>
      <w:r>
        <w:rPr>
          <w:b/>
          <w:sz w:val="24"/>
          <w:u w:val="single"/>
          <w:lang w:eastAsia="zh-CN"/>
        </w:rPr>
        <w:tab/>
      </w:r>
      <w:r>
        <w:rPr>
          <w:b/>
          <w:spacing w:val="4"/>
          <w:sz w:val="24"/>
          <w:lang w:eastAsia="zh-CN"/>
        </w:rPr>
        <w:t>】内</w:t>
      </w:r>
      <w:r>
        <w:rPr>
          <w:b/>
          <w:sz w:val="24"/>
          <w:lang w:eastAsia="zh-CN"/>
        </w:rPr>
        <w:t>签</w:t>
      </w:r>
      <w:r>
        <w:rPr>
          <w:b/>
          <w:spacing w:val="4"/>
          <w:sz w:val="24"/>
          <w:lang w:eastAsia="zh-CN"/>
        </w:rPr>
        <w:t>名，</w:t>
      </w:r>
      <w:r>
        <w:rPr>
          <w:b/>
          <w:sz w:val="24"/>
          <w:lang w:eastAsia="zh-CN"/>
        </w:rPr>
        <w:t>机</w:t>
      </w:r>
      <w:r>
        <w:rPr>
          <w:b/>
          <w:spacing w:val="4"/>
          <w:sz w:val="24"/>
          <w:lang w:eastAsia="zh-CN"/>
        </w:rPr>
        <w:t>构交易</w:t>
      </w:r>
      <w:r>
        <w:rPr>
          <w:b/>
          <w:sz w:val="24"/>
          <w:lang w:eastAsia="zh-CN"/>
        </w:rPr>
        <w:t>者</w:t>
      </w:r>
      <w:r>
        <w:rPr>
          <w:b/>
          <w:spacing w:val="4"/>
          <w:sz w:val="24"/>
          <w:lang w:eastAsia="zh-CN"/>
        </w:rPr>
        <w:t>在本页</w:t>
      </w:r>
      <w:r>
        <w:rPr>
          <w:b/>
          <w:sz w:val="24"/>
          <w:lang w:eastAsia="zh-CN"/>
        </w:rPr>
        <w:t>、</w:t>
      </w:r>
      <w:r>
        <w:rPr>
          <w:b/>
          <w:spacing w:val="4"/>
          <w:sz w:val="24"/>
          <w:lang w:eastAsia="zh-CN"/>
        </w:rPr>
        <w:t>尾</w:t>
      </w:r>
      <w:r>
        <w:rPr>
          <w:b/>
          <w:sz w:val="24"/>
          <w:lang w:eastAsia="zh-CN"/>
        </w:rPr>
        <w:t>页</w:t>
      </w:r>
      <w:r>
        <w:rPr>
          <w:b/>
          <w:spacing w:val="2"/>
          <w:w w:val="99"/>
          <w:sz w:val="24"/>
          <w:lang w:eastAsia="zh-CN"/>
        </w:rPr>
        <w:t>盖</w:t>
      </w:r>
      <w:r>
        <w:rPr>
          <w:b/>
          <w:w w:val="99"/>
          <w:sz w:val="24"/>
          <w:lang w:eastAsia="zh-CN"/>
        </w:rPr>
        <w:t>章</w:t>
      </w:r>
      <w:r>
        <w:rPr>
          <w:b/>
          <w:spacing w:val="2"/>
          <w:w w:val="99"/>
          <w:sz w:val="24"/>
          <w:lang w:eastAsia="zh-CN"/>
        </w:rPr>
        <w:t>，</w:t>
      </w:r>
      <w:r>
        <w:rPr>
          <w:b/>
          <w:w w:val="99"/>
          <w:sz w:val="24"/>
          <w:lang w:eastAsia="zh-CN"/>
        </w:rPr>
        <w:t>加盖</w:t>
      </w:r>
      <w:r>
        <w:rPr>
          <w:b/>
          <w:spacing w:val="2"/>
          <w:w w:val="99"/>
          <w:sz w:val="24"/>
          <w:lang w:eastAsia="zh-CN"/>
        </w:rPr>
        <w:t>骑</w:t>
      </w:r>
      <w:r>
        <w:rPr>
          <w:b/>
          <w:w w:val="99"/>
          <w:sz w:val="24"/>
          <w:lang w:eastAsia="zh-CN"/>
        </w:rPr>
        <w:t>缝</w:t>
      </w:r>
      <w:r>
        <w:rPr>
          <w:b/>
          <w:spacing w:val="2"/>
          <w:w w:val="99"/>
          <w:sz w:val="24"/>
          <w:lang w:eastAsia="zh-CN"/>
        </w:rPr>
        <w:t>章</w:t>
      </w:r>
      <w:r>
        <w:rPr>
          <w:spacing w:val="-120"/>
          <w:sz w:val="24"/>
          <w:lang w:eastAsia="zh-CN"/>
        </w:rPr>
        <w:t>）</w:t>
      </w:r>
      <w:r>
        <w:rPr>
          <w:sz w:val="24"/>
          <w:lang w:eastAsia="zh-CN"/>
        </w:rPr>
        <w:t>：</w:t>
      </w:r>
    </w:p>
    <w:p>
      <w:pPr>
        <w:pStyle w:val="3"/>
        <w:keepNext w:val="0"/>
        <w:keepLines w:val="0"/>
        <w:pageBreakBefore w:val="0"/>
        <w:widowControl w:val="0"/>
        <w:tabs>
          <w:tab w:val="left" w:pos="5199"/>
          <w:tab w:val="left" w:pos="6520"/>
        </w:tabs>
        <w:kinsoku/>
        <w:wordWrap/>
        <w:overflowPunct/>
        <w:topLinePunct w:val="0"/>
        <w:autoSpaceDE w:val="0"/>
        <w:autoSpaceDN w:val="0"/>
        <w:bidi w:val="0"/>
        <w:adjustRightInd/>
        <w:snapToGrid/>
        <w:spacing w:before="2" w:line="406" w:lineRule="auto"/>
        <w:ind w:left="998"/>
        <w:textAlignment w:val="auto"/>
        <w:rPr>
          <w:sz w:val="11"/>
          <w:lang w:eastAsia="zh-CN"/>
        </w:rPr>
      </w:pPr>
      <w:r>
        <w:rPr>
          <w:lang w:eastAsia="zh-CN"/>
        </w:rPr>
        <w:t>自然人居间人姓名及登记编号</w:t>
      </w:r>
      <w:r>
        <w:rPr>
          <w:spacing w:val="-120"/>
          <w:lang w:eastAsia="zh-CN"/>
        </w:rPr>
        <w:t>：</w:t>
      </w:r>
      <w:r>
        <w:rPr>
          <w:lang w:eastAsia="zh-CN"/>
        </w:rPr>
        <w:t>【</w:t>
      </w:r>
      <w:r>
        <w:rPr>
          <w:rFonts w:hint="eastAsia"/>
          <w:u w:val="single"/>
          <w:lang w:val="en-US" w:eastAsia="zh-CN"/>
        </w:rPr>
        <w:t xml:space="preserve"> </w:t>
      </w:r>
      <w:r>
        <w:rPr>
          <w:rFonts w:hint="eastAsia"/>
          <w:b/>
          <w:bCs/>
          <w:u w:val="single"/>
          <w:lang w:val="en-US" w:eastAsia="zh-CN"/>
        </w:rPr>
        <w:t xml:space="preserve">                     </w:t>
      </w:r>
      <w:r>
        <w:rPr>
          <w:rFonts w:hint="eastAsia"/>
          <w:u w:val="single"/>
          <w:lang w:val="en-US" w:eastAsia="zh-CN"/>
        </w:rPr>
        <w:t xml:space="preserve"> </w:t>
      </w:r>
      <w:r>
        <w:rPr>
          <w:lang w:eastAsia="zh-CN"/>
        </w:rPr>
        <w:t>】</w:t>
      </w:r>
    </w:p>
    <w:p>
      <w:pPr>
        <w:pStyle w:val="3"/>
        <w:keepNext w:val="0"/>
        <w:keepLines w:val="0"/>
        <w:pageBreakBefore w:val="0"/>
        <w:widowControl w:val="0"/>
        <w:numPr>
          <w:ilvl w:val="0"/>
          <w:numId w:val="4"/>
        </w:numPr>
        <w:tabs>
          <w:tab w:val="left" w:pos="4479"/>
        </w:tabs>
        <w:kinsoku/>
        <w:wordWrap/>
        <w:overflowPunct/>
        <w:topLinePunct w:val="0"/>
        <w:autoSpaceDE w:val="0"/>
        <w:autoSpaceDN w:val="0"/>
        <w:bidi w:val="0"/>
        <w:adjustRightInd/>
        <w:snapToGrid/>
        <w:spacing w:before="67" w:line="406" w:lineRule="auto"/>
        <w:ind w:left="520" w:right="116" w:firstLine="480"/>
        <w:textAlignment w:val="auto"/>
        <w:rPr>
          <w:lang w:eastAsia="zh-CN"/>
        </w:rPr>
      </w:pPr>
      <w:r>
        <w:rPr>
          <w:lang w:eastAsia="zh-CN"/>
        </w:rPr>
        <w:t>本人/机构知晓</w:t>
      </w:r>
      <w:r>
        <w:rPr>
          <w:spacing w:val="-32"/>
          <w:lang w:eastAsia="zh-CN"/>
        </w:rPr>
        <w:t>：</w:t>
      </w:r>
      <w:r>
        <w:rPr>
          <w:lang w:eastAsia="zh-CN"/>
        </w:rPr>
        <w:t>居间人不是期货公司员工</w:t>
      </w:r>
      <w:r>
        <w:rPr>
          <w:spacing w:val="-32"/>
          <w:lang w:eastAsia="zh-CN"/>
        </w:rPr>
        <w:t>，</w:t>
      </w:r>
      <w:r>
        <w:rPr>
          <w:lang w:eastAsia="zh-CN"/>
        </w:rPr>
        <w:t>居间人独立于期货公司和交易者之外</w:t>
      </w:r>
      <w:r>
        <w:rPr>
          <w:spacing w:val="-15"/>
          <w:lang w:eastAsia="zh-CN"/>
        </w:rPr>
        <w:t xml:space="preserve">， </w:t>
      </w:r>
      <w:r>
        <w:rPr>
          <w:lang w:eastAsia="zh-CN"/>
        </w:rPr>
        <w:t>为交易者提供与期货公司订立期货经纪合同的中介服务</w:t>
      </w:r>
      <w:r>
        <w:rPr>
          <w:spacing w:val="-94"/>
          <w:lang w:eastAsia="zh-CN"/>
        </w:rPr>
        <w:t>，</w:t>
      </w:r>
      <w:r>
        <w:rPr>
          <w:lang w:eastAsia="zh-CN"/>
        </w:rPr>
        <w:t>独立承担基于提供中介服务所产生的</w:t>
      </w:r>
    </w:p>
    <w:p>
      <w:pPr>
        <w:pStyle w:val="3"/>
        <w:keepNext w:val="0"/>
        <w:keepLines w:val="0"/>
        <w:pageBreakBefore w:val="0"/>
        <w:widowControl w:val="0"/>
        <w:numPr>
          <w:ilvl w:val="0"/>
          <w:numId w:val="0"/>
        </w:numPr>
        <w:tabs>
          <w:tab w:val="left" w:pos="4479"/>
        </w:tabs>
        <w:kinsoku/>
        <w:wordWrap/>
        <w:overflowPunct/>
        <w:topLinePunct w:val="0"/>
        <w:autoSpaceDE w:val="0"/>
        <w:autoSpaceDN w:val="0"/>
        <w:bidi w:val="0"/>
        <w:adjustRightInd/>
        <w:snapToGrid/>
        <w:spacing w:before="187" w:line="406" w:lineRule="auto"/>
        <w:ind w:left="0" w:leftChars="0" w:right="113" w:rightChars="0" w:firstLine="480" w:firstLineChars="200"/>
        <w:textAlignment w:val="auto"/>
        <w:rPr>
          <w:lang w:eastAsia="zh-CN"/>
        </w:rPr>
      </w:pPr>
      <w:r>
        <w:rPr>
          <w:lang w:eastAsia="zh-CN"/>
        </w:rPr>
        <w:t>权利义务的机构和自然人</w:t>
      </w:r>
      <w:r>
        <w:rPr>
          <w:spacing w:val="-120"/>
          <w:lang w:eastAsia="zh-CN"/>
        </w:rPr>
        <w:t>。</w:t>
      </w:r>
      <w:r>
        <w:rPr>
          <w:lang w:eastAsia="zh-CN"/>
        </w:rPr>
        <w:t>【</w:t>
      </w:r>
      <w:r>
        <w:rPr>
          <w:b w:val="0"/>
          <w:u w:val="single"/>
          <w:lang w:eastAsia="zh-CN"/>
        </w:rPr>
        <w:t xml:space="preserve"> </w:t>
      </w:r>
      <w:r>
        <w:rPr>
          <w:b w:val="0"/>
          <w:u w:val="single"/>
          <w:lang w:eastAsia="zh-CN"/>
        </w:rPr>
        <w:tab/>
      </w:r>
      <w:r>
        <w:rPr>
          <w:rFonts w:hint="eastAsia"/>
          <w:b w:val="0"/>
          <w:u w:val="single"/>
          <w:lang w:val="en-US" w:eastAsia="zh-CN"/>
        </w:rPr>
        <w:t xml:space="preserve">      </w:t>
      </w:r>
      <w:r>
        <w:rPr>
          <w:lang w:eastAsia="zh-CN"/>
        </w:rPr>
        <w:t>】</w:t>
      </w:r>
    </w:p>
    <w:p>
      <w:pPr>
        <w:pStyle w:val="3"/>
        <w:keepNext w:val="0"/>
        <w:keepLines w:val="0"/>
        <w:pageBreakBefore w:val="0"/>
        <w:widowControl w:val="0"/>
        <w:numPr>
          <w:ilvl w:val="0"/>
          <w:numId w:val="4"/>
        </w:numPr>
        <w:tabs>
          <w:tab w:val="left" w:pos="8920"/>
        </w:tabs>
        <w:kinsoku/>
        <w:wordWrap/>
        <w:overflowPunct/>
        <w:topLinePunct w:val="0"/>
        <w:autoSpaceDE w:val="0"/>
        <w:autoSpaceDN w:val="0"/>
        <w:bidi w:val="0"/>
        <w:adjustRightInd/>
        <w:snapToGrid/>
        <w:spacing w:before="1" w:line="406" w:lineRule="auto"/>
        <w:ind w:left="520" w:leftChars="0" w:right="236" w:firstLine="480" w:firstLineChars="0"/>
        <w:jc w:val="both"/>
        <w:textAlignment w:val="auto"/>
        <w:rPr>
          <w:spacing w:val="-17"/>
          <w:lang w:eastAsia="zh-CN"/>
        </w:rPr>
      </w:pPr>
      <w:r>
        <w:rPr>
          <w:lang w:eastAsia="zh-CN"/>
        </w:rPr>
        <w:t>本人/机构知晓：除期货公司统一对外提供的期货类研发报告及有关信息外，居</w:t>
      </w:r>
      <w:r>
        <w:rPr>
          <w:spacing w:val="-11"/>
          <w:lang w:eastAsia="zh-CN"/>
        </w:rPr>
        <w:t>间</w:t>
      </w:r>
      <w:r>
        <w:rPr>
          <w:lang w:eastAsia="zh-CN"/>
        </w:rPr>
        <w:t>人向本人/机构阐述的与期货交易相关的行情分析及建议均代表其个人观点</w:t>
      </w:r>
      <w:r>
        <w:rPr>
          <w:spacing w:val="-94"/>
          <w:lang w:eastAsia="zh-CN"/>
        </w:rPr>
        <w:t>，</w:t>
      </w:r>
      <w:r>
        <w:rPr>
          <w:lang w:eastAsia="zh-CN"/>
        </w:rPr>
        <w:t>本人/机构与居</w:t>
      </w:r>
      <w:r>
        <w:rPr>
          <w:spacing w:val="-17"/>
          <w:lang w:eastAsia="zh-CN"/>
        </w:rPr>
        <w:t>间</w:t>
      </w:r>
    </w:p>
    <w:p>
      <w:pPr>
        <w:pStyle w:val="3"/>
        <w:keepNext w:val="0"/>
        <w:keepLines w:val="0"/>
        <w:pageBreakBefore w:val="0"/>
        <w:widowControl w:val="0"/>
        <w:numPr>
          <w:ilvl w:val="0"/>
          <w:numId w:val="0"/>
        </w:numPr>
        <w:tabs>
          <w:tab w:val="left" w:pos="8920"/>
        </w:tabs>
        <w:kinsoku/>
        <w:wordWrap/>
        <w:overflowPunct/>
        <w:topLinePunct w:val="0"/>
        <w:autoSpaceDE w:val="0"/>
        <w:autoSpaceDN w:val="0"/>
        <w:bidi w:val="0"/>
        <w:adjustRightInd/>
        <w:snapToGrid/>
        <w:spacing w:before="187" w:line="406" w:lineRule="auto"/>
        <w:ind w:right="238" w:rightChars="0" w:firstLine="480" w:firstLineChars="200"/>
        <w:jc w:val="both"/>
        <w:textAlignment w:val="auto"/>
        <w:rPr>
          <w:lang w:eastAsia="zh-CN"/>
        </w:rPr>
      </w:pPr>
      <w:r>
        <w:rPr>
          <w:lang w:eastAsia="zh-CN"/>
        </w:rPr>
        <w:t>人私下签订的所有协议仅代表本人/机构个人行为，与期货公司无关</w:t>
      </w:r>
      <w:r>
        <w:rPr>
          <w:spacing w:val="-120"/>
          <w:lang w:eastAsia="zh-CN"/>
        </w:rPr>
        <w:t>。</w:t>
      </w:r>
      <w:r>
        <w:rPr>
          <w:lang w:eastAsia="zh-CN"/>
        </w:rPr>
        <w:t>【</w:t>
      </w:r>
      <w:r>
        <w:rPr>
          <w:b w:val="0"/>
          <w:u w:val="single"/>
          <w:lang w:eastAsia="zh-CN"/>
        </w:rPr>
        <w:t xml:space="preserve"> </w:t>
      </w:r>
      <w:r>
        <w:rPr>
          <w:b w:val="0"/>
          <w:u w:val="single"/>
          <w:lang w:eastAsia="zh-CN"/>
        </w:rPr>
        <w:tab/>
      </w:r>
      <w:r>
        <w:rPr>
          <w:rFonts w:hint="eastAsia"/>
          <w:b w:val="0"/>
          <w:u w:val="single"/>
          <w:lang w:val="en-US" w:eastAsia="zh-CN"/>
        </w:rPr>
        <w:t xml:space="preserve">      </w:t>
      </w:r>
      <w:r>
        <w:rPr>
          <w:lang w:eastAsia="zh-CN"/>
        </w:rPr>
        <w:t>】</w:t>
      </w:r>
    </w:p>
    <w:p>
      <w:pPr>
        <w:pStyle w:val="3"/>
        <w:keepNext w:val="0"/>
        <w:keepLines w:val="0"/>
        <w:pageBreakBefore w:val="0"/>
        <w:widowControl w:val="0"/>
        <w:numPr>
          <w:ilvl w:val="0"/>
          <w:numId w:val="4"/>
        </w:numPr>
        <w:tabs>
          <w:tab w:val="left" w:pos="2799"/>
        </w:tabs>
        <w:kinsoku/>
        <w:wordWrap/>
        <w:overflowPunct/>
        <w:topLinePunct w:val="0"/>
        <w:autoSpaceDE w:val="0"/>
        <w:autoSpaceDN w:val="0"/>
        <w:bidi w:val="0"/>
        <w:adjustRightInd/>
        <w:snapToGrid/>
        <w:spacing w:before="1" w:line="406" w:lineRule="auto"/>
        <w:ind w:left="520" w:leftChars="0" w:right="236" w:firstLine="480" w:firstLineChars="0"/>
        <w:textAlignment w:val="auto"/>
        <w:rPr>
          <w:spacing w:val="-17"/>
          <w:lang w:eastAsia="zh-CN"/>
        </w:rPr>
      </w:pPr>
      <w:r>
        <w:rPr>
          <w:lang w:eastAsia="zh-CN"/>
        </w:rPr>
        <w:t>本人/机构知晓</w:t>
      </w:r>
      <w:r>
        <w:rPr>
          <w:spacing w:val="-46"/>
          <w:lang w:eastAsia="zh-CN"/>
        </w:rPr>
        <w:t>：</w:t>
      </w:r>
      <w:r>
        <w:rPr>
          <w:lang w:eastAsia="zh-CN"/>
        </w:rPr>
        <w:t>期货公司及居间人不应当对本人/机构的交易收益状况作出任何</w:t>
      </w:r>
      <w:r>
        <w:rPr>
          <w:spacing w:val="-17"/>
          <w:lang w:eastAsia="zh-CN"/>
        </w:rPr>
        <w:t>承</w:t>
      </w:r>
    </w:p>
    <w:p>
      <w:pPr>
        <w:pStyle w:val="3"/>
        <w:keepNext w:val="0"/>
        <w:keepLines w:val="0"/>
        <w:pageBreakBefore w:val="0"/>
        <w:widowControl w:val="0"/>
        <w:numPr>
          <w:ilvl w:val="0"/>
          <w:numId w:val="0"/>
        </w:numPr>
        <w:tabs>
          <w:tab w:val="left" w:pos="2799"/>
        </w:tabs>
        <w:kinsoku/>
        <w:wordWrap/>
        <w:overflowPunct/>
        <w:topLinePunct w:val="0"/>
        <w:autoSpaceDE w:val="0"/>
        <w:autoSpaceDN w:val="0"/>
        <w:bidi w:val="0"/>
        <w:adjustRightInd/>
        <w:snapToGrid/>
        <w:spacing w:before="187" w:line="406" w:lineRule="auto"/>
        <w:ind w:right="238" w:rightChars="0" w:firstLine="480" w:firstLineChars="200"/>
        <w:textAlignment w:val="auto"/>
        <w:rPr>
          <w:lang w:eastAsia="zh-CN"/>
        </w:rPr>
      </w:pPr>
      <w:r>
        <w:rPr>
          <w:lang w:eastAsia="zh-CN"/>
        </w:rPr>
        <w:t>诺或担保</w:t>
      </w:r>
      <w:r>
        <w:rPr>
          <w:spacing w:val="-120"/>
          <w:lang w:eastAsia="zh-CN"/>
        </w:rPr>
        <w:t>。</w:t>
      </w:r>
      <w:r>
        <w:rPr>
          <w:lang w:eastAsia="zh-CN"/>
        </w:rPr>
        <w:t>【</w:t>
      </w:r>
      <w:r>
        <w:rPr>
          <w:b w:val="0"/>
          <w:u w:val="single"/>
          <w:lang w:eastAsia="zh-CN"/>
        </w:rPr>
        <w:t xml:space="preserve"> </w:t>
      </w:r>
      <w:r>
        <w:rPr>
          <w:b w:val="0"/>
          <w:u w:val="single"/>
          <w:lang w:eastAsia="zh-CN"/>
        </w:rPr>
        <w:tab/>
      </w:r>
      <w:r>
        <w:rPr>
          <w:rFonts w:hint="eastAsia"/>
          <w:b w:val="0"/>
          <w:u w:val="single"/>
          <w:lang w:val="en-US" w:eastAsia="zh-CN"/>
        </w:rPr>
        <w:t xml:space="preserve">      </w:t>
      </w:r>
      <w:r>
        <w:rPr>
          <w:lang w:eastAsia="zh-CN"/>
        </w:rPr>
        <w:t>】</w:t>
      </w:r>
    </w:p>
    <w:p>
      <w:pPr>
        <w:pStyle w:val="2"/>
        <w:keepNext w:val="0"/>
        <w:keepLines w:val="0"/>
        <w:pageBreakBefore w:val="0"/>
        <w:widowControl w:val="0"/>
        <w:numPr>
          <w:ilvl w:val="0"/>
          <w:numId w:val="4"/>
        </w:numPr>
        <w:tabs>
          <w:tab w:val="left" w:pos="3527"/>
        </w:tabs>
        <w:kinsoku/>
        <w:wordWrap/>
        <w:overflowPunct/>
        <w:topLinePunct w:val="0"/>
        <w:autoSpaceDE w:val="0"/>
        <w:autoSpaceDN w:val="0"/>
        <w:bidi w:val="0"/>
        <w:adjustRightInd/>
        <w:snapToGrid/>
        <w:spacing w:before="2" w:line="406" w:lineRule="auto"/>
        <w:ind w:left="520" w:leftChars="0" w:right="236" w:firstLine="480" w:firstLineChars="0"/>
        <w:textAlignment w:val="auto"/>
        <w:rPr>
          <w:spacing w:val="-11"/>
          <w:lang w:eastAsia="zh-CN"/>
        </w:rPr>
      </w:pPr>
      <w:r>
        <w:rPr>
          <w:lang w:eastAsia="zh-CN"/>
        </w:rPr>
        <w:t>本人/机构知晓</w:t>
      </w:r>
      <w:r>
        <w:rPr>
          <w:spacing w:val="-3"/>
          <w:lang w:eastAsia="zh-CN"/>
        </w:rPr>
        <w:t>：</w:t>
      </w:r>
      <w:r>
        <w:rPr>
          <w:lang w:eastAsia="zh-CN"/>
        </w:rPr>
        <w:t>期货公司将从交易者交易产生的手续费中提取一定金额作为支</w:t>
      </w:r>
      <w:r>
        <w:rPr>
          <w:spacing w:val="-11"/>
          <w:lang w:eastAsia="zh-CN"/>
        </w:rPr>
        <w:t>付</w:t>
      </w:r>
    </w:p>
    <w:p>
      <w:pPr>
        <w:pStyle w:val="2"/>
        <w:keepNext w:val="0"/>
        <w:keepLines w:val="0"/>
        <w:pageBreakBefore w:val="0"/>
        <w:widowControl w:val="0"/>
        <w:numPr>
          <w:ilvl w:val="0"/>
          <w:numId w:val="0"/>
        </w:numPr>
        <w:tabs>
          <w:tab w:val="left" w:pos="3527"/>
        </w:tabs>
        <w:kinsoku/>
        <w:wordWrap/>
        <w:overflowPunct/>
        <w:topLinePunct w:val="0"/>
        <w:autoSpaceDE w:val="0"/>
        <w:autoSpaceDN w:val="0"/>
        <w:bidi w:val="0"/>
        <w:adjustRightInd/>
        <w:snapToGrid/>
        <w:spacing w:before="187" w:line="406" w:lineRule="auto"/>
        <w:ind w:right="238" w:rightChars="0" w:firstLine="482" w:firstLineChars="200"/>
        <w:textAlignment w:val="auto"/>
        <w:rPr>
          <w:b w:val="0"/>
          <w:lang w:eastAsia="zh-CN"/>
        </w:rPr>
      </w:pPr>
      <w:r>
        <w:rPr>
          <w:lang w:eastAsia="zh-CN"/>
        </w:rPr>
        <w:t>予居间人的报酬</w:t>
      </w:r>
      <w:r>
        <w:rPr>
          <w:spacing w:val="-118"/>
          <w:lang w:eastAsia="zh-CN"/>
        </w:rPr>
        <w:t>。</w:t>
      </w:r>
      <w:r>
        <w:rPr>
          <w:b w:val="0"/>
          <w:lang w:eastAsia="zh-CN"/>
        </w:rPr>
        <w:t>【</w:t>
      </w:r>
      <w:r>
        <w:rPr>
          <w:b w:val="0"/>
          <w:u w:val="single"/>
          <w:lang w:eastAsia="zh-CN"/>
        </w:rPr>
        <w:t xml:space="preserve"> </w:t>
      </w:r>
      <w:r>
        <w:rPr>
          <w:b w:val="0"/>
          <w:u w:val="single"/>
          <w:lang w:eastAsia="zh-CN"/>
        </w:rPr>
        <w:tab/>
      </w:r>
      <w:r>
        <w:rPr>
          <w:rFonts w:hint="eastAsia"/>
          <w:b w:val="0"/>
          <w:u w:val="single"/>
          <w:lang w:val="en-US" w:eastAsia="zh-CN"/>
        </w:rPr>
        <w:t xml:space="preserve">      </w:t>
      </w:r>
      <w:r>
        <w:rPr>
          <w:b w:val="0"/>
          <w:lang w:eastAsia="zh-CN"/>
        </w:rPr>
        <w:t>】</w:t>
      </w:r>
    </w:p>
    <w:p>
      <w:pPr>
        <w:pStyle w:val="3"/>
        <w:keepNext w:val="0"/>
        <w:keepLines w:val="0"/>
        <w:pageBreakBefore w:val="0"/>
        <w:widowControl w:val="0"/>
        <w:tabs>
          <w:tab w:val="left" w:pos="9640"/>
        </w:tabs>
        <w:kinsoku/>
        <w:wordWrap/>
        <w:overflowPunct/>
        <w:topLinePunct w:val="0"/>
        <w:autoSpaceDE w:val="0"/>
        <w:autoSpaceDN w:val="0"/>
        <w:bidi w:val="0"/>
        <w:adjustRightInd/>
        <w:snapToGrid/>
        <w:spacing w:line="406" w:lineRule="auto"/>
        <w:ind w:left="1000"/>
        <w:textAlignment w:val="auto"/>
        <w:rPr>
          <w:lang w:eastAsia="zh-CN"/>
        </w:rPr>
      </w:pPr>
      <w:r>
        <w:rPr>
          <w:lang w:eastAsia="zh-CN"/>
        </w:rPr>
        <w:t>（五）本人/机构知晓：期货居间人声明中关于居间人禁止行为的规定</w:t>
      </w:r>
      <w:r>
        <w:rPr>
          <w:spacing w:val="-120"/>
          <w:lang w:eastAsia="zh-CN"/>
        </w:rPr>
        <w:t>。</w:t>
      </w:r>
      <w:r>
        <w:rPr>
          <w:lang w:eastAsia="zh-CN"/>
        </w:rPr>
        <w:t>【</w:t>
      </w:r>
      <w:r>
        <w:rPr>
          <w:u w:val="single"/>
          <w:lang w:eastAsia="zh-CN"/>
        </w:rPr>
        <w:t xml:space="preserve"> </w:t>
      </w:r>
      <w:r>
        <w:rPr>
          <w:rFonts w:hint="eastAsia"/>
          <w:u w:val="single"/>
          <w:lang w:val="en-US" w:eastAsia="zh-CN"/>
        </w:rPr>
        <w:t xml:space="preserve">          </w:t>
      </w:r>
      <w:r>
        <w:rPr>
          <w:u w:val="single"/>
          <w:lang w:eastAsia="zh-CN"/>
        </w:rPr>
        <w:tab/>
      </w:r>
      <w:r>
        <w:rPr>
          <w:lang w:eastAsia="zh-CN"/>
        </w:rPr>
        <w:t>】</w:t>
      </w:r>
    </w:p>
    <w:p>
      <w:pPr>
        <w:pStyle w:val="3"/>
        <w:rPr>
          <w:sz w:val="26"/>
          <w:lang w:eastAsia="zh-CN"/>
        </w:rPr>
      </w:pPr>
    </w:p>
    <w:p>
      <w:pPr>
        <w:pStyle w:val="3"/>
        <w:spacing w:before="9"/>
        <w:rPr>
          <w:sz w:val="19"/>
          <w:lang w:eastAsia="zh-CN"/>
        </w:rPr>
      </w:pPr>
    </w:p>
    <w:p>
      <w:pPr>
        <w:pStyle w:val="3"/>
        <w:tabs>
          <w:tab w:val="left" w:pos="5680"/>
        </w:tabs>
        <w:spacing w:before="1"/>
        <w:ind w:left="1000"/>
        <w:rPr>
          <w:lang w:eastAsia="zh-CN"/>
        </w:rPr>
      </w:pPr>
      <w:r>
        <w:rPr>
          <w:lang w:eastAsia="zh-CN"/>
        </w:rPr>
        <w:t>期货交易者（签章</w:t>
      </w:r>
      <w:r>
        <w:rPr>
          <w:spacing w:val="-120"/>
          <w:lang w:eastAsia="zh-CN"/>
        </w:rPr>
        <w:t>）</w:t>
      </w:r>
      <w:r>
        <w:rPr>
          <w:lang w:eastAsia="zh-CN"/>
        </w:rPr>
        <w:t>：</w:t>
      </w:r>
      <w:r>
        <w:rPr>
          <w:lang w:eastAsia="zh-CN"/>
        </w:rPr>
        <w:tab/>
      </w:r>
      <w:r>
        <w:rPr>
          <w:rFonts w:hint="eastAsia"/>
          <w:lang w:val="en-US" w:eastAsia="zh-CN"/>
        </w:rPr>
        <w:t xml:space="preserve">   </w:t>
      </w:r>
      <w:r>
        <w:rPr>
          <w:lang w:eastAsia="zh-CN"/>
        </w:rPr>
        <w:t>经办人（签字</w:t>
      </w:r>
      <w:r>
        <w:rPr>
          <w:spacing w:val="-120"/>
          <w:lang w:eastAsia="zh-CN"/>
        </w:rPr>
        <w:t>）</w:t>
      </w:r>
      <w:r>
        <w:rPr>
          <w:lang w:eastAsia="zh-CN"/>
        </w:rPr>
        <w:t>：</w:t>
      </w:r>
    </w:p>
    <w:p>
      <w:pPr>
        <w:pStyle w:val="3"/>
        <w:spacing w:before="1"/>
        <w:rPr>
          <w:sz w:val="33"/>
          <w:lang w:eastAsia="zh-CN"/>
        </w:rPr>
      </w:pPr>
    </w:p>
    <w:p>
      <w:pPr>
        <w:pStyle w:val="3"/>
        <w:spacing w:before="1"/>
        <w:rPr>
          <w:sz w:val="33"/>
          <w:lang w:eastAsia="zh-CN"/>
        </w:rPr>
      </w:pPr>
    </w:p>
    <w:p>
      <w:pPr>
        <w:pStyle w:val="3"/>
        <w:tabs>
          <w:tab w:val="left" w:pos="5680"/>
        </w:tabs>
        <w:ind w:left="1000"/>
        <w:rPr>
          <w:lang w:eastAsia="zh-CN"/>
        </w:rPr>
      </w:pPr>
      <w:r>
        <w:rPr>
          <w:lang w:eastAsia="zh-CN"/>
        </w:rPr>
        <w:t>期货居间人（签章</w:t>
      </w:r>
      <w:r>
        <w:rPr>
          <w:spacing w:val="-120"/>
          <w:lang w:eastAsia="zh-CN"/>
        </w:rPr>
        <w:t>）</w:t>
      </w:r>
      <w:r>
        <w:rPr>
          <w:lang w:eastAsia="zh-CN"/>
        </w:rPr>
        <w:t>：</w:t>
      </w:r>
      <w:r>
        <w:rPr>
          <w:lang w:eastAsia="zh-CN"/>
        </w:rPr>
        <w:tab/>
      </w:r>
      <w:r>
        <w:rPr>
          <w:rFonts w:hint="eastAsia"/>
          <w:lang w:val="en-US" w:eastAsia="zh-CN"/>
        </w:rPr>
        <w:t xml:space="preserve">   </w:t>
      </w:r>
      <w:r>
        <w:rPr>
          <w:lang w:eastAsia="zh-CN"/>
        </w:rPr>
        <w:t>经办人（签字</w:t>
      </w:r>
      <w:r>
        <w:rPr>
          <w:spacing w:val="-120"/>
          <w:lang w:eastAsia="zh-CN"/>
        </w:rPr>
        <w:t>）</w:t>
      </w:r>
      <w:r>
        <w:rPr>
          <w:lang w:eastAsia="zh-CN"/>
        </w:rPr>
        <w:t>：</w:t>
      </w:r>
    </w:p>
    <w:p>
      <w:pPr>
        <w:pStyle w:val="3"/>
        <w:rPr>
          <w:lang w:eastAsia="zh-CN"/>
        </w:rPr>
      </w:pPr>
    </w:p>
    <w:p>
      <w:pPr>
        <w:pStyle w:val="3"/>
        <w:spacing w:before="3"/>
        <w:rPr>
          <w:sz w:val="33"/>
          <w:lang w:eastAsia="zh-CN"/>
        </w:rPr>
      </w:pPr>
    </w:p>
    <w:p>
      <w:pPr>
        <w:pStyle w:val="3"/>
        <w:tabs>
          <w:tab w:val="left" w:pos="5680"/>
        </w:tabs>
        <w:spacing w:before="1"/>
        <w:ind w:left="1000"/>
        <w:rPr>
          <w:lang w:eastAsia="zh-CN"/>
        </w:rPr>
      </w:pPr>
      <w:r>
        <w:rPr>
          <w:lang w:eastAsia="zh-CN"/>
        </w:rPr>
        <w:t>期货公司（签章</w:t>
      </w:r>
      <w:r>
        <w:rPr>
          <w:spacing w:val="-120"/>
          <w:lang w:eastAsia="zh-CN"/>
        </w:rPr>
        <w:t>）</w:t>
      </w:r>
      <w:r>
        <w:rPr>
          <w:lang w:eastAsia="zh-CN"/>
        </w:rPr>
        <w:t>：</w:t>
      </w:r>
      <w:r>
        <w:rPr>
          <w:lang w:eastAsia="zh-CN"/>
        </w:rPr>
        <w:tab/>
      </w:r>
      <w:r>
        <w:rPr>
          <w:rFonts w:hint="eastAsia"/>
          <w:lang w:val="en-US" w:eastAsia="zh-CN"/>
        </w:rPr>
        <w:t xml:space="preserve">   </w:t>
      </w:r>
      <w:r>
        <w:rPr>
          <w:lang w:eastAsia="zh-CN"/>
        </w:rPr>
        <w:t>经办人（签字</w:t>
      </w:r>
      <w:r>
        <w:rPr>
          <w:spacing w:val="-120"/>
          <w:lang w:eastAsia="zh-CN"/>
        </w:rPr>
        <w:t>）</w:t>
      </w:r>
      <w:r>
        <w:rPr>
          <w:lang w:eastAsia="zh-CN"/>
        </w:rPr>
        <w:t>：</w:t>
      </w:r>
    </w:p>
    <w:p>
      <w:pPr>
        <w:pStyle w:val="3"/>
        <w:rPr>
          <w:lang w:eastAsia="zh-CN"/>
        </w:rPr>
      </w:pPr>
    </w:p>
    <w:p>
      <w:pPr>
        <w:pStyle w:val="3"/>
        <w:spacing w:before="1"/>
        <w:rPr>
          <w:sz w:val="33"/>
          <w:lang w:eastAsia="zh-CN"/>
        </w:rPr>
      </w:pPr>
    </w:p>
    <w:p>
      <w:pPr>
        <w:pStyle w:val="3"/>
        <w:ind w:left="1000"/>
      </w:pPr>
      <w:r>
        <w:t>日期：</w:t>
      </w:r>
    </w:p>
    <w:sectPr>
      <w:pgSz w:w="11910" w:h="16840"/>
      <w:pgMar w:top="1560" w:right="840" w:bottom="780" w:left="560" w:header="0" w:footer="5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1025" o:spid="_x0000_s1025" o:spt="202" type="#_x0000_t202" style="position:absolute;left:0pt;margin-left:285.5pt;margin-top:801.85pt;height:11pt;width:26.6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20" w:lineRule="exact"/>
                  <w:ind w:left="60"/>
                  <w:rPr>
                    <w:b/>
                    <w:sz w:val="18"/>
                  </w:rPr>
                </w:pPr>
                <w:r>
                  <w:fldChar w:fldCharType="begin"/>
                </w:r>
                <w:r>
                  <w:rPr>
                    <w:b/>
                    <w:sz w:val="18"/>
                  </w:rPr>
                  <w:instrText xml:space="preserve"> PAGE </w:instrText>
                </w:r>
                <w:r>
                  <w:fldChar w:fldCharType="separate"/>
                </w:r>
                <w:r>
                  <w:t>1</w:t>
                </w:r>
                <w:r>
                  <w:fldChar w:fldCharType="end"/>
                </w:r>
                <w:r>
                  <w:rPr>
                    <w:b/>
                    <w:sz w:val="18"/>
                  </w:rPr>
                  <w:t xml:space="preserve"> </w:t>
                </w:r>
                <w:r>
                  <w:rPr>
                    <w:sz w:val="18"/>
                  </w:rPr>
                  <w:t xml:space="preserve">/ </w:t>
                </w:r>
                <w:r>
                  <w:rPr>
                    <w:b/>
                    <w:sz w:val="18"/>
                  </w:rPr>
                  <w:t>3</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EC7F4"/>
    <w:multiLevelType w:val="singleLevel"/>
    <w:tmpl w:val="86EEC7F4"/>
    <w:lvl w:ilvl="0" w:tentative="0">
      <w:start w:val="1"/>
      <w:numFmt w:val="chineseCounting"/>
      <w:suff w:val="nothing"/>
      <w:lvlText w:val="（%1）"/>
      <w:lvlJc w:val="left"/>
      <w:rPr>
        <w:rFonts w:hint="eastAsia"/>
      </w:rPr>
    </w:lvl>
  </w:abstractNum>
  <w:abstractNum w:abstractNumId="1">
    <w:nsid w:val="9852911D"/>
    <w:multiLevelType w:val="singleLevel"/>
    <w:tmpl w:val="9852911D"/>
    <w:lvl w:ilvl="0" w:tentative="0">
      <w:start w:val="1"/>
      <w:numFmt w:val="chineseCounting"/>
      <w:suff w:val="nothing"/>
      <w:lvlText w:val="（%1）"/>
      <w:lvlJc w:val="left"/>
      <w:rPr>
        <w:rFonts w:hint="eastAsia"/>
      </w:rPr>
    </w:lvl>
  </w:abstractNum>
  <w:abstractNum w:abstractNumId="2">
    <w:nsid w:val="18164537"/>
    <w:multiLevelType w:val="multilevel"/>
    <w:tmpl w:val="18164537"/>
    <w:lvl w:ilvl="0" w:tentative="0">
      <w:start w:val="2"/>
      <w:numFmt w:val="decimal"/>
      <w:lvlText w:val="%1."/>
      <w:lvlJc w:val="left"/>
      <w:pPr>
        <w:ind w:left="1241" w:hanging="241"/>
        <w:jc w:val="left"/>
      </w:pPr>
      <w:rPr>
        <w:rFonts w:hint="default" w:ascii="仿宋" w:hAnsi="仿宋" w:eastAsia="仿宋" w:cs="仿宋"/>
        <w:w w:val="100"/>
        <w:sz w:val="22"/>
        <w:szCs w:val="22"/>
      </w:rPr>
    </w:lvl>
    <w:lvl w:ilvl="1" w:tentative="0">
      <w:start w:val="0"/>
      <w:numFmt w:val="bullet"/>
      <w:lvlText w:val="•"/>
      <w:lvlJc w:val="left"/>
      <w:pPr>
        <w:ind w:left="2166" w:hanging="241"/>
      </w:pPr>
      <w:rPr>
        <w:rFonts w:hint="default"/>
      </w:rPr>
    </w:lvl>
    <w:lvl w:ilvl="2" w:tentative="0">
      <w:start w:val="0"/>
      <w:numFmt w:val="bullet"/>
      <w:lvlText w:val="•"/>
      <w:lvlJc w:val="left"/>
      <w:pPr>
        <w:ind w:left="3093" w:hanging="241"/>
      </w:pPr>
      <w:rPr>
        <w:rFonts w:hint="default"/>
      </w:rPr>
    </w:lvl>
    <w:lvl w:ilvl="3" w:tentative="0">
      <w:start w:val="0"/>
      <w:numFmt w:val="bullet"/>
      <w:lvlText w:val="•"/>
      <w:lvlJc w:val="left"/>
      <w:pPr>
        <w:ind w:left="4019" w:hanging="241"/>
      </w:pPr>
      <w:rPr>
        <w:rFonts w:hint="default"/>
      </w:rPr>
    </w:lvl>
    <w:lvl w:ilvl="4" w:tentative="0">
      <w:start w:val="0"/>
      <w:numFmt w:val="bullet"/>
      <w:lvlText w:val="•"/>
      <w:lvlJc w:val="left"/>
      <w:pPr>
        <w:ind w:left="4946" w:hanging="241"/>
      </w:pPr>
      <w:rPr>
        <w:rFonts w:hint="default"/>
      </w:rPr>
    </w:lvl>
    <w:lvl w:ilvl="5" w:tentative="0">
      <w:start w:val="0"/>
      <w:numFmt w:val="bullet"/>
      <w:lvlText w:val="•"/>
      <w:lvlJc w:val="left"/>
      <w:pPr>
        <w:ind w:left="5872" w:hanging="241"/>
      </w:pPr>
      <w:rPr>
        <w:rFonts w:hint="default"/>
      </w:rPr>
    </w:lvl>
    <w:lvl w:ilvl="6" w:tentative="0">
      <w:start w:val="0"/>
      <w:numFmt w:val="bullet"/>
      <w:lvlText w:val="•"/>
      <w:lvlJc w:val="left"/>
      <w:pPr>
        <w:ind w:left="6799" w:hanging="241"/>
      </w:pPr>
      <w:rPr>
        <w:rFonts w:hint="default"/>
      </w:rPr>
    </w:lvl>
    <w:lvl w:ilvl="7" w:tentative="0">
      <w:start w:val="0"/>
      <w:numFmt w:val="bullet"/>
      <w:lvlText w:val="•"/>
      <w:lvlJc w:val="left"/>
      <w:pPr>
        <w:ind w:left="7725" w:hanging="241"/>
      </w:pPr>
      <w:rPr>
        <w:rFonts w:hint="default"/>
      </w:rPr>
    </w:lvl>
    <w:lvl w:ilvl="8" w:tentative="0">
      <w:start w:val="0"/>
      <w:numFmt w:val="bullet"/>
      <w:lvlText w:val="•"/>
      <w:lvlJc w:val="left"/>
      <w:pPr>
        <w:ind w:left="8652" w:hanging="241"/>
      </w:pPr>
      <w:rPr>
        <w:rFonts w:hint="default"/>
      </w:rPr>
    </w:lvl>
  </w:abstractNum>
  <w:abstractNum w:abstractNumId="3">
    <w:nsid w:val="4CB15EB5"/>
    <w:multiLevelType w:val="multilevel"/>
    <w:tmpl w:val="4CB15EB5"/>
    <w:lvl w:ilvl="0" w:tentative="0">
      <w:start w:val="1"/>
      <w:numFmt w:val="decimal"/>
      <w:lvlText w:val="%1."/>
      <w:lvlJc w:val="left"/>
      <w:pPr>
        <w:ind w:left="1241" w:hanging="241"/>
        <w:jc w:val="left"/>
      </w:pPr>
      <w:rPr>
        <w:rFonts w:hint="default" w:ascii="仿宋" w:hAnsi="仿宋" w:eastAsia="仿宋" w:cs="仿宋"/>
        <w:w w:val="100"/>
        <w:sz w:val="22"/>
        <w:szCs w:val="22"/>
      </w:rPr>
    </w:lvl>
    <w:lvl w:ilvl="1" w:tentative="0">
      <w:start w:val="0"/>
      <w:numFmt w:val="bullet"/>
      <w:lvlText w:val="•"/>
      <w:lvlJc w:val="left"/>
      <w:pPr>
        <w:ind w:left="2166" w:hanging="241"/>
      </w:pPr>
      <w:rPr>
        <w:rFonts w:hint="default"/>
      </w:rPr>
    </w:lvl>
    <w:lvl w:ilvl="2" w:tentative="0">
      <w:start w:val="0"/>
      <w:numFmt w:val="bullet"/>
      <w:lvlText w:val="•"/>
      <w:lvlJc w:val="left"/>
      <w:pPr>
        <w:ind w:left="3093" w:hanging="241"/>
      </w:pPr>
      <w:rPr>
        <w:rFonts w:hint="default"/>
      </w:rPr>
    </w:lvl>
    <w:lvl w:ilvl="3" w:tentative="0">
      <w:start w:val="0"/>
      <w:numFmt w:val="bullet"/>
      <w:lvlText w:val="•"/>
      <w:lvlJc w:val="left"/>
      <w:pPr>
        <w:ind w:left="4019" w:hanging="241"/>
      </w:pPr>
      <w:rPr>
        <w:rFonts w:hint="default"/>
      </w:rPr>
    </w:lvl>
    <w:lvl w:ilvl="4" w:tentative="0">
      <w:start w:val="0"/>
      <w:numFmt w:val="bullet"/>
      <w:lvlText w:val="•"/>
      <w:lvlJc w:val="left"/>
      <w:pPr>
        <w:ind w:left="4946" w:hanging="241"/>
      </w:pPr>
      <w:rPr>
        <w:rFonts w:hint="default"/>
      </w:rPr>
    </w:lvl>
    <w:lvl w:ilvl="5" w:tentative="0">
      <w:start w:val="0"/>
      <w:numFmt w:val="bullet"/>
      <w:lvlText w:val="•"/>
      <w:lvlJc w:val="left"/>
      <w:pPr>
        <w:ind w:left="5872" w:hanging="241"/>
      </w:pPr>
      <w:rPr>
        <w:rFonts w:hint="default"/>
      </w:rPr>
    </w:lvl>
    <w:lvl w:ilvl="6" w:tentative="0">
      <w:start w:val="0"/>
      <w:numFmt w:val="bullet"/>
      <w:lvlText w:val="•"/>
      <w:lvlJc w:val="left"/>
      <w:pPr>
        <w:ind w:left="6799" w:hanging="241"/>
      </w:pPr>
      <w:rPr>
        <w:rFonts w:hint="default"/>
      </w:rPr>
    </w:lvl>
    <w:lvl w:ilvl="7" w:tentative="0">
      <w:start w:val="0"/>
      <w:numFmt w:val="bullet"/>
      <w:lvlText w:val="•"/>
      <w:lvlJc w:val="left"/>
      <w:pPr>
        <w:ind w:left="7725" w:hanging="241"/>
      </w:pPr>
      <w:rPr>
        <w:rFonts w:hint="default"/>
      </w:rPr>
    </w:lvl>
    <w:lvl w:ilvl="8" w:tentative="0">
      <w:start w:val="0"/>
      <w:numFmt w:val="bullet"/>
      <w:lvlText w:val="•"/>
      <w:lvlJc w:val="left"/>
      <w:pPr>
        <w:ind w:left="8652" w:hanging="241"/>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8F0F3A"/>
    <w:rsid w:val="001514DB"/>
    <w:rsid w:val="008F0F3A"/>
    <w:rsid w:val="00D24192"/>
    <w:rsid w:val="02F2133D"/>
    <w:rsid w:val="134575CB"/>
    <w:rsid w:val="2D052797"/>
    <w:rsid w:val="65C72FA3"/>
    <w:rsid w:val="68B76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en-US" w:bidi="ar-SA"/>
    </w:rPr>
  </w:style>
  <w:style w:type="paragraph" w:styleId="2">
    <w:name w:val="heading 1"/>
    <w:basedOn w:val="1"/>
    <w:next w:val="1"/>
    <w:qFormat/>
    <w:uiPriority w:val="9"/>
    <w:pPr>
      <w:ind w:left="520"/>
      <w:outlineLvl w:val="0"/>
    </w:pPr>
    <w:rPr>
      <w:b/>
      <w:bCs/>
      <w:sz w:val="24"/>
      <w:szCs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211"/>
      <w:ind w:left="1241" w:hanging="241"/>
    </w:pPr>
  </w:style>
  <w:style w:type="paragraph" w:customStyle="1" w:styleId="11">
    <w:name w:val="Table Paragraph"/>
    <w:basedOn w:val="1"/>
    <w:qFormat/>
    <w:uiPriority w:val="1"/>
  </w:style>
  <w:style w:type="character" w:customStyle="1" w:styleId="12">
    <w:name w:val="页眉 字符"/>
    <w:basedOn w:val="7"/>
    <w:link w:val="5"/>
    <w:qFormat/>
    <w:uiPriority w:val="99"/>
    <w:rPr>
      <w:rFonts w:ascii="仿宋" w:hAnsi="仿宋" w:eastAsia="仿宋" w:cs="仿宋"/>
      <w:sz w:val="18"/>
      <w:szCs w:val="18"/>
    </w:rPr>
  </w:style>
  <w:style w:type="character" w:customStyle="1" w:styleId="13">
    <w:name w:val="页脚 字符"/>
    <w:basedOn w:val="7"/>
    <w:link w:val="4"/>
    <w:qFormat/>
    <w:uiPriority w:val="99"/>
    <w:rPr>
      <w:rFonts w:ascii="仿宋" w:hAnsi="仿宋" w:eastAsia="仿宋" w:cs="仿宋"/>
      <w:sz w:val="18"/>
      <w:szCs w:val="18"/>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283</Words>
  <Characters>1617</Characters>
  <Lines>13</Lines>
  <Paragraphs>3</Paragraphs>
  <TotalTime>126</TotalTime>
  <ScaleCrop>false</ScaleCrop>
  <LinksUpToDate>false</LinksUpToDate>
  <CharactersWithSpaces>1897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2023-07-25T05:57:00Z</dcterms:created>
  <dc:creator>吕清华</dc:creator>
  <cp:lastModifiedBy>guow</cp:lastModifiedBy>
  <dcterms:modified xsi:type="dcterms:W3CDTF">2025-02-17T08:13:25Z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2021-09-13T00:00:00Z</vt:filetime>
  </property>
  <property fmtid="{D5CDD505-2E9C-101B-9397-08002B2CF9AE}" pid="3" name="Creator">
    <vt:lpwstr>福昕软件开发股份有限公司</vt:lpwstr>
  </property>
  <property fmtid="{D5CDD505-2E9C-101B-9397-08002B2CF9AE}" pid="4" name="LastSaved">
    <vt:filetime>2023-07-25T00:00:00Z</vt:filetime>
  </property>
  <property fmtid="{D5CDD505-2E9C-101B-9397-08002B2CF9AE}" pid="5" name="KSOProductBuildVer">
    <vt:lpwstr>2052-11.8.2.12085</vt:lpwstr>
  </property>
  <property fmtid="{D5CDD505-2E9C-101B-9397-08002B2CF9AE}" pid="6" name="ICV">
    <vt:lpwstr>41B40081CA8644E18D7F9C248025CC96</vt:lpwstr>
  </property>
</Properties>
</file>